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 w:rsidP="00AF55EA">
      <w:pPr>
        <w:pStyle w:val="Heading1"/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6E784B39" w:rsidR="00FD1980" w:rsidRPr="00DE6A50" w:rsidRDefault="00FD1980">
      <w:pPr>
        <w:rPr>
          <w:rFonts w:asciiTheme="minorHAnsi" w:hAnsiTheme="minorHAnsi" w:cstheme="minorHAnsi"/>
          <w:szCs w:val="22"/>
        </w:rPr>
      </w:pPr>
      <w:r w:rsidRPr="00BE040C">
        <w:rPr>
          <w:bCs/>
          <w:szCs w:val="22"/>
        </w:rPr>
        <w:t>Chemical name</w:t>
      </w:r>
      <w:r w:rsidR="00C22087" w:rsidRPr="00BE040C">
        <w:rPr>
          <w:bCs/>
          <w:szCs w:val="22"/>
        </w:rPr>
        <w:t xml:space="preserve"> </w:t>
      </w:r>
      <w:r w:rsidR="00884E4F" w:rsidRPr="00BE040C">
        <w:rPr>
          <w:bCs/>
          <w:szCs w:val="22"/>
        </w:rPr>
        <w:t>and concentration</w:t>
      </w:r>
      <w:r w:rsidRPr="00BE040C">
        <w:rPr>
          <w:bCs/>
          <w:szCs w:val="22"/>
        </w:rPr>
        <w:t>:</w:t>
      </w:r>
      <w:r w:rsidRPr="00DE6A5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szCs w:val="22"/>
          </w:rPr>
          <w:id w:val="1798574934"/>
          <w:placeholder>
            <w:docPart w:val="7E4F9C8FC0314B309A9858F2EEA85F72"/>
          </w:placeholder>
        </w:sdtPr>
        <w:sdtContent>
          <w:r w:rsidR="00255B7F" w:rsidRPr="00BE040C">
            <w:rPr>
              <w:b/>
              <w:bCs/>
              <w:sz w:val="24"/>
            </w:rPr>
            <w:t>Chloroform, 67-66-3, ≤100%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3A2A0568" w:rsidR="00DE6A50" w:rsidRPr="002F20C4" w:rsidRDefault="00255B7F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AF55EA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4ED92DA8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Acute toxicity, Oral (Category 4), H302</w:t>
      </w:r>
    </w:p>
    <w:p w14:paraId="7CB968C9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Acute toxicity, Inhalation (Category 3), H331</w:t>
      </w:r>
    </w:p>
    <w:p w14:paraId="6FF5D04B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Skin irritation (Category 2), H315</w:t>
      </w:r>
    </w:p>
    <w:p w14:paraId="4444AF07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Eye irritation (Category 2A), H319</w:t>
      </w:r>
    </w:p>
    <w:p w14:paraId="19FB7B08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Carcinogenicity (Category 2), H351</w:t>
      </w:r>
    </w:p>
    <w:p w14:paraId="5FABB36D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Reproductive toxicity (Category 2), H361</w:t>
      </w:r>
    </w:p>
    <w:p w14:paraId="590F4E6A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Specific target organ toxicity - single exposure (Category 3), Central nervous system, H336</w:t>
      </w:r>
    </w:p>
    <w:p w14:paraId="3B400EFA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Specific target organ toxicity - repeated exposure (Category 1), Liver, Kidney, H372</w:t>
      </w:r>
    </w:p>
    <w:p w14:paraId="238B57D3" w14:textId="77777777" w:rsidR="00A83D76" w:rsidRPr="00B83C82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t>Short-term (acute) aquatic hazard (Category 3), H402</w:t>
      </w:r>
    </w:p>
    <w:p w14:paraId="4070430C" w14:textId="21CA23B1" w:rsidR="00C22087" w:rsidRPr="00A83D76" w:rsidRDefault="00A83D76" w:rsidP="00A83D76">
      <w:pPr>
        <w:pStyle w:val="NoSpacing"/>
        <w:rPr>
          <w:rFonts w:cs="Arial"/>
          <w:sz w:val="24"/>
          <w:szCs w:val="24"/>
        </w:rPr>
      </w:pPr>
      <w:r w:rsidRPr="00B83C82">
        <w:rPr>
          <w:rFonts w:cs="Arial"/>
          <w:sz w:val="24"/>
          <w:szCs w:val="24"/>
        </w:rPr>
        <w:lastRenderedPageBreak/>
        <w:t>Long-term (chronic) aquatic hazard (Category 3), H412</w:t>
      </w:r>
      <w:r w:rsidRPr="00B83C82">
        <w:rPr>
          <w:rFonts w:cs="Arial"/>
          <w:sz w:val="24"/>
          <w:szCs w:val="24"/>
        </w:rPr>
        <w:cr/>
      </w:r>
    </w:p>
    <w:p w14:paraId="3B85CFB2" w14:textId="6B934C00" w:rsidR="00921E21" w:rsidRDefault="00921E21" w:rsidP="00AF55EA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Label Information</w:t>
      </w:r>
    </w:p>
    <w:p w14:paraId="71D74582" w14:textId="77777777" w:rsidR="00A83D76" w:rsidRDefault="00A83D76" w:rsidP="00A83D76">
      <w:pPr>
        <w:pStyle w:val="NoSpacing"/>
        <w:rPr>
          <w:rFonts w:cs="Arial"/>
          <w:b/>
          <w:sz w:val="24"/>
          <w:szCs w:val="24"/>
        </w:rPr>
      </w:pPr>
    </w:p>
    <w:p w14:paraId="141C8ECB" w14:textId="1BCF114C" w:rsidR="00A83D76" w:rsidRDefault="00A83D76" w:rsidP="00AF55EA">
      <w:pPr>
        <w:pStyle w:val="Heading3"/>
        <w:rPr>
          <w:rFonts w:cs="Arial"/>
          <w:b/>
        </w:rPr>
      </w:pPr>
      <w:r>
        <w:rPr>
          <w:rFonts w:cs="Arial"/>
          <w:b/>
        </w:rPr>
        <w:t>Pictogram</w:t>
      </w:r>
    </w:p>
    <w:p w14:paraId="269EB9B8" w14:textId="77777777" w:rsidR="00A83D76" w:rsidRPr="008237B8" w:rsidRDefault="00A83D76" w:rsidP="00A83D76">
      <w:pPr>
        <w:pStyle w:val="NoSpacing"/>
        <w:rPr>
          <w:rFonts w:cs="Arial"/>
          <w:b/>
          <w:sz w:val="24"/>
          <w:szCs w:val="24"/>
        </w:rPr>
      </w:pP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47959F" wp14:editId="7F43BD10">
            <wp:extent cx="440757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64B919E1" wp14:editId="2C22AB60">
            <wp:extent cx="457200" cy="4572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49154529" wp14:editId="500B1414">
            <wp:extent cx="457842" cy="4572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AF55EA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Signal Word</w:t>
      </w:r>
    </w:p>
    <w:p w14:paraId="376E2490" w14:textId="77777777" w:rsidR="00A83D76" w:rsidRDefault="00A83D76" w:rsidP="00A83D7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Danger</w:t>
      </w:r>
    </w:p>
    <w:p w14:paraId="74B1E255" w14:textId="77777777" w:rsidR="00C22087" w:rsidRPr="00C22087" w:rsidRDefault="00C22087" w:rsidP="00A94AE4">
      <w:pPr>
        <w:rPr>
          <w:rFonts w:cs="Arial"/>
          <w:sz w:val="24"/>
        </w:rPr>
      </w:pPr>
    </w:p>
    <w:p w14:paraId="6E225298" w14:textId="3232B3D3" w:rsidR="00921E21" w:rsidRDefault="00921E21" w:rsidP="00AF55EA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Hazard Statement(s)</w:t>
      </w:r>
    </w:p>
    <w:p w14:paraId="35C4FBEF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H302 Harmful if swallowed.</w:t>
      </w:r>
    </w:p>
    <w:p w14:paraId="6101DE3B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H315 Causes skin irritation.</w:t>
      </w:r>
    </w:p>
    <w:p w14:paraId="1FB7788B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H319 Causes serious eye irritation.</w:t>
      </w:r>
    </w:p>
    <w:p w14:paraId="5C9830AE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H331 Toxic if inhaled.</w:t>
      </w:r>
    </w:p>
    <w:p w14:paraId="5590684A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H336 May cause drowsiness or dizziness.</w:t>
      </w:r>
    </w:p>
    <w:p w14:paraId="1FFDB9FF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H351 Suspected of causing cancer.</w:t>
      </w:r>
    </w:p>
    <w:p w14:paraId="63D540AE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H361 Suspected of damaging fertility or the unborn child.</w:t>
      </w:r>
    </w:p>
    <w:p w14:paraId="071F3346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H372 Causes damage to organs (Liver, Kidney) through prolonged or</w:t>
      </w:r>
    </w:p>
    <w:p w14:paraId="52FEB2A9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repeated exposure.</w:t>
      </w:r>
    </w:p>
    <w:p w14:paraId="1018DA02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H412 Harmful to aquatic life with long lasting effects.</w:t>
      </w:r>
    </w:p>
    <w:p w14:paraId="5C32718F" w14:textId="77777777" w:rsidR="00766812" w:rsidRPr="00C22087" w:rsidRDefault="00766812" w:rsidP="00A94AE4">
      <w:pPr>
        <w:rPr>
          <w:rFonts w:cs="Arial"/>
          <w:sz w:val="24"/>
        </w:rPr>
      </w:pPr>
    </w:p>
    <w:p w14:paraId="4808B2D6" w14:textId="6744C64C" w:rsidR="00921E21" w:rsidRDefault="00921E21" w:rsidP="00AF55EA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Precautionary Statement(s)</w:t>
      </w:r>
    </w:p>
    <w:p w14:paraId="78749AC4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P201 Obtain special instructions before use.</w:t>
      </w:r>
    </w:p>
    <w:p w14:paraId="2C623AEE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P202 Do not handle until all safety precautions have been read and</w:t>
      </w:r>
    </w:p>
    <w:p w14:paraId="4F7B7B53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understood.</w:t>
      </w:r>
    </w:p>
    <w:p w14:paraId="4F370834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 xml:space="preserve">P260 Do not breathe dust/ fume/ gas/ mist/ </w:t>
      </w:r>
      <w:proofErr w:type="spellStart"/>
      <w:r w:rsidRPr="00CA177C">
        <w:rPr>
          <w:rFonts w:cs="Arial"/>
          <w:sz w:val="24"/>
          <w:szCs w:val="24"/>
        </w:rPr>
        <w:t>vapours</w:t>
      </w:r>
      <w:proofErr w:type="spellEnd"/>
      <w:r w:rsidRPr="00CA177C">
        <w:rPr>
          <w:rFonts w:cs="Arial"/>
          <w:sz w:val="24"/>
          <w:szCs w:val="24"/>
        </w:rPr>
        <w:t>/ spray.</w:t>
      </w:r>
    </w:p>
    <w:p w14:paraId="0D427FB2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P264 Wash skin thoroughly after handling.</w:t>
      </w:r>
    </w:p>
    <w:p w14:paraId="4B298A1C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P270 Do not eat, drink or smoke when using this product.</w:t>
      </w:r>
    </w:p>
    <w:p w14:paraId="13A421BA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P271 Use only outdoors or in a well-ventilated area.</w:t>
      </w:r>
    </w:p>
    <w:p w14:paraId="1AAE8FF9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P273 Avoid release to the environment.</w:t>
      </w:r>
    </w:p>
    <w:p w14:paraId="35D60E29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P280 Wear protective gloves/ protective clothing/ eye protection/ face</w:t>
      </w:r>
    </w:p>
    <w:p w14:paraId="6FEA1867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protection.</w:t>
      </w:r>
    </w:p>
    <w:p w14:paraId="02B71BA3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P301 + P312 + P330 IF SWALLOWED: Call a POISON CENTER/doctor if you feel</w:t>
      </w:r>
    </w:p>
    <w:p w14:paraId="45ABE533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unwell. Rinse mouth.</w:t>
      </w:r>
    </w:p>
    <w:p w14:paraId="6E84BD14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P302 + P352 IF ON SKIN: Wash with plenty of soap and water.</w:t>
      </w:r>
    </w:p>
    <w:p w14:paraId="75569A27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P304 + P340 + P311 IF INHALED: Remove person to fresh air and keep comfortable</w:t>
      </w:r>
    </w:p>
    <w:p w14:paraId="1664CDF8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for breathing. Call a POISON CENTER/doctor.</w:t>
      </w:r>
    </w:p>
    <w:p w14:paraId="343E6A0D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P305 + P351 + P338 IF IN EYES: Rinse cautiously with water for several minutes.</w:t>
      </w:r>
    </w:p>
    <w:p w14:paraId="59774F16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Remove contact lenses, if present and easy to do. Continue</w:t>
      </w:r>
    </w:p>
    <w:p w14:paraId="5121DB14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rinsing.</w:t>
      </w:r>
    </w:p>
    <w:p w14:paraId="1ADE712C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P308 + P313 IF exposed or concerned: Get medical advice/ attention.</w:t>
      </w:r>
    </w:p>
    <w:p w14:paraId="62A875D5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P332 + P313 If skin irritation occurs: Get medical advice/ attention.</w:t>
      </w:r>
    </w:p>
    <w:p w14:paraId="73BD45D7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lastRenderedPageBreak/>
        <w:t>P337 + P313 If eye irritation persists: Get medical advice/ attention.</w:t>
      </w:r>
    </w:p>
    <w:p w14:paraId="3F2D44AA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P362 Take off contaminated clothing and wash before reuse.</w:t>
      </w:r>
    </w:p>
    <w:p w14:paraId="46AFF577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P403 + P233 Store in a well-ventilated place. Keep container tightly closed.</w:t>
      </w:r>
    </w:p>
    <w:p w14:paraId="6768A98C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P405 Store locked up.</w:t>
      </w:r>
    </w:p>
    <w:p w14:paraId="353D5F77" w14:textId="77777777" w:rsidR="00A83D76" w:rsidRPr="00CA177C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P501 Dispose of contents/ container to an approved waste disposal</w:t>
      </w:r>
    </w:p>
    <w:p w14:paraId="0E841886" w14:textId="77777777" w:rsidR="00A83D76" w:rsidRDefault="00A83D76" w:rsidP="00A83D76">
      <w:pPr>
        <w:pStyle w:val="NoSpacing"/>
        <w:rPr>
          <w:rFonts w:cs="Arial"/>
          <w:sz w:val="24"/>
          <w:szCs w:val="24"/>
        </w:rPr>
      </w:pPr>
      <w:r w:rsidRPr="00CA177C">
        <w:rPr>
          <w:rFonts w:cs="Arial"/>
          <w:sz w:val="24"/>
          <w:szCs w:val="24"/>
        </w:rPr>
        <w:t>plant</w:t>
      </w:r>
    </w:p>
    <w:p w14:paraId="22ACE706" w14:textId="77777777" w:rsidR="00775F2A" w:rsidRDefault="00775F2A" w:rsidP="00A94AE4">
      <w:pPr>
        <w:rPr>
          <w:rFonts w:cs="Arial"/>
          <w:sz w:val="24"/>
        </w:rPr>
      </w:pPr>
    </w:p>
    <w:p w14:paraId="5E278973" w14:textId="212120DF" w:rsidR="00775F2A" w:rsidRPr="004C54DC" w:rsidRDefault="00775F2A" w:rsidP="00AF55EA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703AFCB0" w14:textId="5BC12FA7" w:rsidR="00905CC8" w:rsidRPr="00BE040C" w:rsidRDefault="00905CC8" w:rsidP="00A94AE4">
      <w:pPr>
        <w:rPr>
          <w:rStyle w:val="ASUmaroononwhite"/>
          <w:rFonts w:ascii="Arial" w:hAnsi="Arial" w:cs="Arial"/>
          <w:b w:val="0"/>
          <w:iCs/>
          <w:color w:val="FF0000"/>
          <w:sz w:val="24"/>
          <w:shd w:val="clear" w:color="auto" w:fil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:rsidRPr="00102EB1" w14:paraId="274591CC" w14:textId="77777777" w:rsidTr="00905CC8">
        <w:tc>
          <w:tcPr>
            <w:tcW w:w="2337" w:type="dxa"/>
          </w:tcPr>
          <w:p w14:paraId="3E009945" w14:textId="4CE77218" w:rsidR="00905CC8" w:rsidRPr="00102EB1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CAS</w:t>
            </w:r>
          </w:p>
        </w:tc>
        <w:sdt>
          <w:sdtPr>
            <w:rPr>
              <w:rFonts w:cs="Arial"/>
              <w:szCs w:val="22"/>
            </w:rPr>
            <w:id w:val="979579845"/>
            <w:placeholder>
              <w:docPart w:val="DD35C14C16DC447098A58C3276D39E3A"/>
            </w:placeholder>
          </w:sdtPr>
          <w:sdtContent>
            <w:tc>
              <w:tcPr>
                <w:tcW w:w="2337" w:type="dxa"/>
              </w:tcPr>
              <w:p w14:paraId="3804B75F" w14:textId="688D904C" w:rsidR="00905CC8" w:rsidRPr="00102EB1" w:rsidRDefault="00BE040C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67-66-3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Pr="00102EB1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Melting Point</w:t>
            </w:r>
            <w:r w:rsidR="00084AEF" w:rsidRPr="00102EB1">
              <w:rPr>
                <w:szCs w:val="22"/>
              </w:rPr>
              <w:t>/Range</w:t>
            </w:r>
          </w:p>
        </w:tc>
        <w:sdt>
          <w:sdtPr>
            <w:rPr>
              <w:rFonts w:cs="Arial"/>
              <w:szCs w:val="22"/>
            </w:rPr>
            <w:id w:val="849298780"/>
            <w:placeholder>
              <w:docPart w:val="15A4563CB54646568B62FE48A2025328"/>
            </w:placeholder>
          </w:sdtPr>
          <w:sdtContent>
            <w:tc>
              <w:tcPr>
                <w:tcW w:w="2338" w:type="dxa"/>
              </w:tcPr>
              <w:p w14:paraId="766BF93D" w14:textId="730C43CE" w:rsidR="00905CC8" w:rsidRPr="00102EB1" w:rsidRDefault="00102EB1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-63 °C (-81 °F)</w:t>
                </w:r>
              </w:p>
            </w:tc>
          </w:sdtContent>
        </w:sdt>
      </w:tr>
      <w:tr w:rsidR="00905CC8" w:rsidRPr="00102EB1" w14:paraId="2C8A854B" w14:textId="77777777" w:rsidTr="00905CC8">
        <w:tc>
          <w:tcPr>
            <w:tcW w:w="2337" w:type="dxa"/>
          </w:tcPr>
          <w:p w14:paraId="32F703AB" w14:textId="635F6AA6" w:rsidR="00905CC8" w:rsidRPr="00102EB1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 xml:space="preserve">Molecular </w:t>
            </w:r>
            <w:r w:rsidR="003B54DA" w:rsidRPr="00102EB1">
              <w:rPr>
                <w:szCs w:val="22"/>
              </w:rPr>
              <w:t>F</w:t>
            </w:r>
            <w:r w:rsidRPr="00102EB1">
              <w:rPr>
                <w:szCs w:val="22"/>
              </w:rPr>
              <w:t>ormula</w:t>
            </w:r>
          </w:p>
        </w:tc>
        <w:sdt>
          <w:sdtPr>
            <w:rPr>
              <w:rFonts w:cs="Arial"/>
              <w:szCs w:val="22"/>
            </w:rPr>
            <w:id w:val="1726719725"/>
            <w:placeholder>
              <w:docPart w:val="51875E786E3441B58EFA713E0066E5AD"/>
            </w:placeholder>
          </w:sdtPr>
          <w:sdtContent>
            <w:tc>
              <w:tcPr>
                <w:tcW w:w="2337" w:type="dxa"/>
              </w:tcPr>
              <w:p w14:paraId="495498AD" w14:textId="17594C30" w:rsidR="00905CC8" w:rsidRPr="00102EB1" w:rsidRDefault="00BE040C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CHCl</w:t>
                </w:r>
                <w:r w:rsidRPr="00102EB1">
                  <w:rPr>
                    <w:rFonts w:cs="Arial"/>
                    <w:szCs w:val="22"/>
                    <w:vertAlign w:val="subscript"/>
                  </w:rPr>
                  <w:t>3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Pr="00102EB1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Boiling Point</w:t>
            </w:r>
            <w:r w:rsidR="00084AEF" w:rsidRPr="00102EB1">
              <w:rPr>
                <w:szCs w:val="22"/>
              </w:rPr>
              <w:t>/</w:t>
            </w:r>
            <w:r w:rsidRPr="00102EB1">
              <w:rPr>
                <w:szCs w:val="22"/>
              </w:rPr>
              <w:t>Range</w:t>
            </w:r>
          </w:p>
        </w:tc>
        <w:sdt>
          <w:sdtPr>
            <w:rPr>
              <w:rFonts w:cs="Arial"/>
              <w:szCs w:val="22"/>
            </w:rPr>
            <w:id w:val="-46685719"/>
            <w:placeholder>
              <w:docPart w:val="449F8885D14840FEBDA0BBB524D5AD09"/>
            </w:placeholder>
          </w:sdtPr>
          <w:sdtContent>
            <w:tc>
              <w:tcPr>
                <w:tcW w:w="2338" w:type="dxa"/>
              </w:tcPr>
              <w:p w14:paraId="26B6A16A" w14:textId="475B1502" w:rsidR="00102EB1" w:rsidRDefault="00102EB1" w:rsidP="00A94AE4">
                <w:pPr>
                  <w:rPr>
                    <w:rFonts w:cs="Arial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60.5 - 61.5 °C</w:t>
                </w:r>
              </w:p>
              <w:p w14:paraId="2C1E96C3" w14:textId="265F07B0" w:rsidR="00905CC8" w:rsidRPr="00102EB1" w:rsidRDefault="00102EB1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140.9 - 142.7 °F</w:t>
                </w:r>
              </w:p>
            </w:tc>
          </w:sdtContent>
        </w:sdt>
      </w:tr>
      <w:tr w:rsidR="003B54DA" w:rsidRPr="00102EB1" w14:paraId="316B498F" w14:textId="77777777" w:rsidTr="00905CC8">
        <w:tc>
          <w:tcPr>
            <w:tcW w:w="2337" w:type="dxa"/>
          </w:tcPr>
          <w:p w14:paraId="246EE5C5" w14:textId="23D62C55" w:rsidR="003B54DA" w:rsidRPr="00102EB1" w:rsidRDefault="003B54DA" w:rsidP="00A94AE4">
            <w:pPr>
              <w:rPr>
                <w:szCs w:val="22"/>
              </w:rPr>
            </w:pPr>
            <w:r w:rsidRPr="00102EB1">
              <w:rPr>
                <w:szCs w:val="22"/>
              </w:rPr>
              <w:t>Molecular Weight</w:t>
            </w:r>
          </w:p>
        </w:tc>
        <w:tc>
          <w:tcPr>
            <w:tcW w:w="2337" w:type="dxa"/>
          </w:tcPr>
          <w:p w14:paraId="4D7188FD" w14:textId="3347F020" w:rsidR="003B54DA" w:rsidRPr="00102EB1" w:rsidRDefault="00102EB1" w:rsidP="00A94AE4">
            <w:pPr>
              <w:rPr>
                <w:rFonts w:cs="Arial"/>
                <w:szCs w:val="22"/>
              </w:rPr>
            </w:pPr>
            <w:r w:rsidRPr="00102EB1">
              <w:rPr>
                <w:rFonts w:cs="Arial"/>
                <w:szCs w:val="22"/>
              </w:rPr>
              <w:t>119.38 g/mol</w:t>
            </w:r>
          </w:p>
        </w:tc>
        <w:tc>
          <w:tcPr>
            <w:tcW w:w="2338" w:type="dxa"/>
          </w:tcPr>
          <w:p w14:paraId="17A12442" w14:textId="5E921EE2" w:rsidR="003B54DA" w:rsidRPr="00102EB1" w:rsidRDefault="003B54DA" w:rsidP="00A94AE4">
            <w:pPr>
              <w:rPr>
                <w:szCs w:val="22"/>
              </w:rPr>
            </w:pPr>
            <w:r w:rsidRPr="00102EB1">
              <w:rPr>
                <w:szCs w:val="22"/>
              </w:rPr>
              <w:t>Flash Point</w:t>
            </w:r>
          </w:p>
        </w:tc>
        <w:tc>
          <w:tcPr>
            <w:tcW w:w="2338" w:type="dxa"/>
          </w:tcPr>
          <w:p w14:paraId="1BF8C35B" w14:textId="2DC28038" w:rsidR="003B54DA" w:rsidRPr="00102EB1" w:rsidRDefault="00102EB1" w:rsidP="00A94A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Does not flash</w:t>
            </w:r>
          </w:p>
        </w:tc>
      </w:tr>
      <w:tr w:rsidR="003B54DA" w:rsidRPr="00102EB1" w14:paraId="636FF44F" w14:textId="77777777" w:rsidTr="00905CC8">
        <w:tc>
          <w:tcPr>
            <w:tcW w:w="2337" w:type="dxa"/>
          </w:tcPr>
          <w:p w14:paraId="5928488A" w14:textId="7CC5B4AB" w:rsidR="003B54DA" w:rsidRPr="00102EB1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Physical State, Color</w:t>
            </w:r>
          </w:p>
        </w:tc>
        <w:sdt>
          <w:sdtPr>
            <w:rPr>
              <w:rFonts w:cs="Arial"/>
              <w:szCs w:val="22"/>
            </w:rPr>
            <w:id w:val="-266933400"/>
            <w:placeholder>
              <w:docPart w:val="BCC10D9140C54401878F5B7F814017E5"/>
            </w:placeholder>
          </w:sdtPr>
          <w:sdtContent>
            <w:tc>
              <w:tcPr>
                <w:tcW w:w="2337" w:type="dxa"/>
              </w:tcPr>
              <w:p w14:paraId="7973BC1B" w14:textId="1613441B" w:rsidR="003B54DA" w:rsidRPr="00102EB1" w:rsidRDefault="00102EB1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Liquid, clear, colorless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Pr="00102EB1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Upper flammability/ explosion limit</w:t>
            </w:r>
          </w:p>
        </w:tc>
        <w:sdt>
          <w:sdtPr>
            <w:rPr>
              <w:rFonts w:cs="Arial"/>
              <w:szCs w:val="22"/>
            </w:rPr>
            <w:id w:val="-640874892"/>
            <w:placeholder>
              <w:docPart w:val="DA89761119AE43F9B96A472041275B7A"/>
            </w:placeholder>
          </w:sdtPr>
          <w:sdtContent>
            <w:tc>
              <w:tcPr>
                <w:tcW w:w="2338" w:type="dxa"/>
              </w:tcPr>
              <w:p w14:paraId="0AEA8EAB" w14:textId="3490E7A1" w:rsidR="003B54DA" w:rsidRPr="00102EB1" w:rsidRDefault="00D64DD9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none</w:t>
                </w:r>
              </w:p>
            </w:tc>
          </w:sdtContent>
        </w:sdt>
      </w:tr>
      <w:tr w:rsidR="003B54DA" w:rsidRPr="00102EB1" w14:paraId="2BA0F346" w14:textId="77777777" w:rsidTr="00905CC8">
        <w:tc>
          <w:tcPr>
            <w:tcW w:w="2337" w:type="dxa"/>
          </w:tcPr>
          <w:p w14:paraId="58FC71C2" w14:textId="251CFD26" w:rsidR="003B54DA" w:rsidRPr="00102EB1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Odor</w:t>
            </w:r>
          </w:p>
        </w:tc>
        <w:sdt>
          <w:sdtPr>
            <w:rPr>
              <w:rFonts w:cs="Arial"/>
              <w:szCs w:val="22"/>
            </w:rPr>
            <w:id w:val="2029363037"/>
            <w:placeholder>
              <w:docPart w:val="CE941E38BC0A4A6AAF5CFBD395455674"/>
            </w:placeholder>
          </w:sdtPr>
          <w:sdtContent>
            <w:tc>
              <w:tcPr>
                <w:tcW w:w="2337" w:type="dxa"/>
              </w:tcPr>
              <w:p w14:paraId="67A5115E" w14:textId="0FC6A69F" w:rsidR="003B54DA" w:rsidRPr="00102EB1" w:rsidRDefault="00102EB1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sweet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102EB1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102EB1">
              <w:rPr>
                <w:szCs w:val="22"/>
              </w:rPr>
              <w:t>Lower flammability/ explosion limit</w:t>
            </w:r>
          </w:p>
        </w:tc>
        <w:sdt>
          <w:sdtPr>
            <w:rPr>
              <w:rFonts w:cs="Arial"/>
              <w:szCs w:val="22"/>
            </w:rPr>
            <w:id w:val="-1326811791"/>
            <w:placeholder>
              <w:docPart w:val="2FC13E5B4A724ACEA7EAECBF8976752D"/>
            </w:placeholder>
          </w:sdtPr>
          <w:sdtContent>
            <w:tc>
              <w:tcPr>
                <w:tcW w:w="2338" w:type="dxa"/>
              </w:tcPr>
              <w:p w14:paraId="6126E15F" w14:textId="17D3EC87" w:rsidR="003B54DA" w:rsidRPr="00102EB1" w:rsidRDefault="00D64DD9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none</w:t>
                </w:r>
              </w:p>
            </w:tc>
          </w:sdtContent>
        </w:sdt>
      </w:tr>
      <w:tr w:rsidR="003B54DA" w:rsidRPr="00102EB1" w14:paraId="57CD0D78" w14:textId="77777777" w:rsidTr="00905CC8">
        <w:tc>
          <w:tcPr>
            <w:tcW w:w="2337" w:type="dxa"/>
          </w:tcPr>
          <w:p w14:paraId="58A17E46" w14:textId="1543758A" w:rsidR="003B54DA" w:rsidRPr="00102EB1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102EB1">
              <w:rPr>
                <w:szCs w:val="22"/>
              </w:rPr>
              <w:t>Odor Threshold</w:t>
            </w:r>
          </w:p>
        </w:tc>
        <w:sdt>
          <w:sdtPr>
            <w:rPr>
              <w:rFonts w:cs="Arial"/>
              <w:szCs w:val="22"/>
            </w:rPr>
            <w:id w:val="1964776687"/>
            <w:placeholder>
              <w:docPart w:val="4579199D81BE4C5E9919CC9AEC6664FC"/>
            </w:placeholder>
          </w:sdtPr>
          <w:sdtContent>
            <w:tc>
              <w:tcPr>
                <w:tcW w:w="2337" w:type="dxa"/>
              </w:tcPr>
              <w:p w14:paraId="467625F6" w14:textId="675707B3" w:rsidR="003B54DA" w:rsidRPr="00102EB1" w:rsidRDefault="00D64DD9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Conflicting data</w:t>
                </w:r>
              </w:p>
            </w:tc>
          </w:sdtContent>
        </w:sdt>
        <w:tc>
          <w:tcPr>
            <w:tcW w:w="2338" w:type="dxa"/>
          </w:tcPr>
          <w:p w14:paraId="3D9B22BD" w14:textId="631244A2" w:rsidR="003B54DA" w:rsidRPr="00102EB1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102EB1">
              <w:rPr>
                <w:szCs w:val="22"/>
              </w:rPr>
              <w:t>Autoignition Temp.</w:t>
            </w:r>
          </w:p>
        </w:tc>
        <w:sdt>
          <w:sdtPr>
            <w:rPr>
              <w:rFonts w:cs="Arial"/>
              <w:szCs w:val="22"/>
            </w:rPr>
            <w:id w:val="1469699984"/>
            <w:placeholder>
              <w:docPart w:val="09C22ED6BA004210BCB0DBFA551D86DC"/>
            </w:placeholder>
          </w:sdtPr>
          <w:sdtContent>
            <w:tc>
              <w:tcPr>
                <w:tcW w:w="2338" w:type="dxa"/>
              </w:tcPr>
              <w:p w14:paraId="0390745F" w14:textId="67D00AB3" w:rsidR="003B54DA" w:rsidRPr="00102EB1" w:rsidRDefault="00D64DD9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 w:rsidRPr="00D64DD9">
                  <w:rPr>
                    <w:rFonts w:cs="Arial"/>
                    <w:szCs w:val="22"/>
                  </w:rPr>
                  <w:t>Not flammable (USCG, 1999)</w:t>
                </w:r>
              </w:p>
            </w:tc>
          </w:sdtContent>
        </w:sdt>
      </w:tr>
      <w:tr w:rsidR="003B54DA" w:rsidRPr="00102EB1" w14:paraId="1282277A" w14:textId="77777777" w:rsidTr="00905CC8">
        <w:tc>
          <w:tcPr>
            <w:tcW w:w="2337" w:type="dxa"/>
          </w:tcPr>
          <w:p w14:paraId="5BD07C02" w14:textId="11222590" w:rsidR="003B54DA" w:rsidRPr="00102EB1" w:rsidRDefault="003B54DA" w:rsidP="003B54DA">
            <w:pPr>
              <w:rPr>
                <w:szCs w:val="22"/>
              </w:rPr>
            </w:pPr>
            <w:r w:rsidRPr="00102EB1">
              <w:rPr>
                <w:szCs w:val="22"/>
              </w:rPr>
              <w:t>Evaporation Rate</w:t>
            </w:r>
          </w:p>
        </w:tc>
        <w:sdt>
          <w:sdtPr>
            <w:rPr>
              <w:rFonts w:cs="Arial"/>
              <w:szCs w:val="22"/>
            </w:rPr>
            <w:id w:val="-1872987414"/>
            <w:placeholder>
              <w:docPart w:val="2296C33FBE4843A4AC5345B76F6E979E"/>
            </w:placeholder>
          </w:sdtPr>
          <w:sdtContent>
            <w:tc>
              <w:tcPr>
                <w:tcW w:w="2337" w:type="dxa"/>
              </w:tcPr>
              <w:p w14:paraId="68324CCA" w14:textId="28C27204" w:rsidR="003B54DA" w:rsidRPr="00102EB1" w:rsidRDefault="00D64DD9" w:rsidP="003B54DA">
                <w:pPr>
                  <w:rPr>
                    <w:rFonts w:cs="Arial"/>
                    <w:szCs w:val="22"/>
                  </w:rPr>
                </w:pPr>
                <w:r w:rsidRPr="00D64DD9">
                  <w:rPr>
                    <w:rFonts w:cs="Arial"/>
                    <w:szCs w:val="22"/>
                  </w:rPr>
                  <w:t>11.6 (Butyl acetate = 1)</w:t>
                </w:r>
              </w:p>
            </w:tc>
          </w:sdtContent>
        </w:sdt>
        <w:tc>
          <w:tcPr>
            <w:tcW w:w="2338" w:type="dxa"/>
          </w:tcPr>
          <w:p w14:paraId="6CB8C915" w14:textId="44D928EC" w:rsidR="003B54DA" w:rsidRPr="00102EB1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102EB1">
              <w:rPr>
                <w:szCs w:val="22"/>
              </w:rPr>
              <w:t>Decomposition Temp</w:t>
            </w:r>
          </w:p>
        </w:tc>
        <w:sdt>
          <w:sdtPr>
            <w:rPr>
              <w:rFonts w:cs="Arial"/>
              <w:szCs w:val="22"/>
            </w:rPr>
            <w:id w:val="-684899642"/>
            <w:placeholder>
              <w:docPart w:val="E4B0D76840554517A11BBEF2C56FCD8D"/>
            </w:placeholder>
          </w:sdtPr>
          <w:sdtContent>
            <w:tc>
              <w:tcPr>
                <w:tcW w:w="2338" w:type="dxa"/>
              </w:tcPr>
              <w:p w14:paraId="08071375" w14:textId="288705FD" w:rsidR="003B54DA" w:rsidRPr="00102EB1" w:rsidRDefault="00102EB1" w:rsidP="003B54DA">
                <w:pPr>
                  <w:rPr>
                    <w:rFonts w:cs="Arial"/>
                    <w:szCs w:val="22"/>
                  </w:rPr>
                </w:pPr>
                <w:r w:rsidRPr="00102EB1">
                  <w:rPr>
                    <w:rFonts w:cs="Arial"/>
                    <w:szCs w:val="22"/>
                  </w:rPr>
                  <w:t>Distillable in an undecomposed state at normal pressure.</w:t>
                </w:r>
              </w:p>
            </w:tc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AF55EA">
      <w:pPr>
        <w:pStyle w:val="Heading1"/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B3B78A0" w14:textId="4DE7B40E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362D854B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003E39">
        <w:rPr>
          <w:rFonts w:asciiTheme="minorHAnsi" w:eastAsia="Calibri" w:hAnsiTheme="minorHAnsi" w:cstheme="minorHAnsi"/>
          <w:sz w:val="24"/>
          <w:szCs w:val="22"/>
        </w:rPr>
        <w:t>i</w:t>
      </w:r>
      <w:r w:rsidR="00003E39" w:rsidRPr="000668BA">
        <w:rPr>
          <w:rFonts w:asciiTheme="minorHAnsi" w:eastAsia="Calibri" w:hAnsiTheme="minorHAnsi" w:cstheme="minorHAnsi"/>
          <w:sz w:val="24"/>
          <w:szCs w:val="22"/>
        </w:rPr>
        <w:t>mmediately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all contaminated clothing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5B5BA5C4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>nearest emergency eyewash immediately</w:t>
      </w:r>
      <w:r w:rsidR="009D60A0">
        <w:rPr>
          <w:rFonts w:asciiTheme="minorHAnsi" w:eastAsia="Calibri" w:hAnsiTheme="minorHAnsi" w:cstheme="minorHAnsi"/>
          <w:sz w:val="24"/>
          <w:szCs w:val="22"/>
        </w:rPr>
        <w:t>. Remove any contact lenses</w:t>
      </w:r>
      <w:r w:rsidRPr="000668BA">
        <w:rPr>
          <w:rFonts w:asciiTheme="minorHAnsi" w:eastAsia="Calibri" w:hAnsiTheme="minorHAnsi" w:cstheme="minorHAnsi"/>
          <w:sz w:val="24"/>
          <w:szCs w:val="22"/>
        </w:rPr>
        <w:t>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64B653D0" w14:textId="08DF9BD4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41BA4BCC" w14:textId="77777777" w:rsidR="00D7333D" w:rsidRPr="00991400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0983492F" w14:textId="6A3B4F00" w:rsidR="0066442C" w:rsidRDefault="0066442C" w:rsidP="00A94AE4">
      <w:pPr>
        <w:rPr>
          <w:rStyle w:val="ASUmaroononwhite"/>
          <w:sz w:val="24"/>
        </w:rPr>
      </w:pPr>
    </w:p>
    <w:p w14:paraId="7D394003" w14:textId="77777777" w:rsidR="0066442C" w:rsidRPr="00573739" w:rsidRDefault="0066442C" w:rsidP="00AF55EA">
      <w:pPr>
        <w:pStyle w:val="Heading1"/>
        <w:rPr>
          <w:rStyle w:val="ASUmaroononwhite"/>
          <w:sz w:val="28"/>
        </w:rPr>
      </w:pPr>
      <w:r w:rsidRPr="00573739">
        <w:rPr>
          <w:rStyle w:val="ASUmaroononwhite"/>
          <w:sz w:val="28"/>
        </w:rPr>
        <w:t>Spill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77777777" w:rsidR="0066442C" w:rsidRDefault="0066442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Personal precautions</w:t>
      </w:r>
    </w:p>
    <w:p w14:paraId="64B7DE75" w14:textId="1692B089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Avoid breathing vapors, mist or dust.</w:t>
      </w:r>
    </w:p>
    <w:p w14:paraId="7CDE0F88" w14:textId="7869635C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lastRenderedPageBreak/>
        <w:t>If the spill happened outside of a fume hood, evacuate the lab and call EHS (480-965-1823).</w:t>
      </w:r>
    </w:p>
    <w:p w14:paraId="6E06DD39" w14:textId="1ED4FBE8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Do not attempt clean-up without the required PPE</w:t>
      </w:r>
      <w:r>
        <w:rPr>
          <w:rFonts w:cstheme="minorHAnsi"/>
          <w:sz w:val="24"/>
          <w:szCs w:val="24"/>
        </w:rPr>
        <w:t xml:space="preserve"> (see below)</w:t>
      </w:r>
      <w:r w:rsidRPr="008237B8"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7E1EBF55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Prevent further leakage </w:t>
      </w:r>
      <w:r>
        <w:rPr>
          <w:rFonts w:asciiTheme="minorHAnsi" w:eastAsia="Calibri" w:hAnsiTheme="minorHAnsi" w:cstheme="minorHAnsi"/>
          <w:sz w:val="24"/>
        </w:rPr>
        <w:t>or spillage – if safe to do so.</w:t>
      </w:r>
      <w:r w:rsidRPr="000668BA">
        <w:rPr>
          <w:rFonts w:asciiTheme="minorHAnsi" w:eastAsia="Calibri" w:hAnsiTheme="minorHAnsi" w:cstheme="minorHAnsi"/>
          <w:sz w:val="24"/>
        </w:rPr>
        <w:t xml:space="preserve"> Do not allow product to enter drains.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7777777" w:rsidR="0066442C" w:rsidRDefault="0066442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Methods and materials for containment and clean-up</w:t>
      </w:r>
    </w:p>
    <w:p w14:paraId="49EC24D2" w14:textId="487B9D0A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Consider material compatibility prior to clean-up. </w:t>
      </w:r>
      <w:bookmarkStart w:id="0" w:name="_Hlk99980876"/>
      <w:r w:rsidR="00E06890">
        <w:rPr>
          <w:rFonts w:cstheme="minorHAnsi"/>
          <w:sz w:val="24"/>
          <w:szCs w:val="24"/>
        </w:rPr>
        <w:t xml:space="preserve">Verify the spill is not releasing hazardous fumes outside of a fume hood. </w:t>
      </w:r>
      <w:bookmarkEnd w:id="0"/>
      <w:r w:rsidRPr="008237B8">
        <w:rPr>
          <w:rFonts w:cstheme="minorHAnsi"/>
          <w:sz w:val="24"/>
          <w:szCs w:val="24"/>
        </w:rPr>
        <w:t>Verify spill kit is available</w:t>
      </w:r>
      <w:r>
        <w:rPr>
          <w:rFonts w:cstheme="minorHAnsi"/>
          <w:sz w:val="24"/>
          <w:szCs w:val="24"/>
        </w:rPr>
        <w:t>. Verify correct PPE is being worn</w:t>
      </w:r>
      <w:r w:rsidRPr="008237B8">
        <w:rPr>
          <w:rFonts w:cstheme="minorHAnsi"/>
          <w:sz w:val="24"/>
          <w:szCs w:val="24"/>
        </w:rPr>
        <w:t>.</w:t>
      </w:r>
    </w:p>
    <w:p w14:paraId="034D696E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Immediately assess amount spilled, follow posted ASU Emergency Response Guide procedures for hazardous materials incidents.</w:t>
      </w:r>
    </w:p>
    <w:p w14:paraId="4BD24BF8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a chemical exposure has occurred</w:t>
      </w:r>
      <w:r>
        <w:rPr>
          <w:rFonts w:cstheme="minorHAnsi"/>
          <w:sz w:val="24"/>
          <w:szCs w:val="24"/>
        </w:rPr>
        <w:t>, follow First Aid Procedures above. A</w:t>
      </w:r>
      <w:r w:rsidRPr="008237B8">
        <w:rPr>
          <w:rFonts w:cstheme="minorHAnsi"/>
          <w:sz w:val="24"/>
          <w:szCs w:val="24"/>
        </w:rPr>
        <w:t xml:space="preserve"> fellow lab worker shall call 9-1-1 and seek immediate medical attention. Then call EHS at (480) 965-1823.</w:t>
      </w:r>
    </w:p>
    <w:p w14:paraId="5DB94CF9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Secure / restrict access to the area of the spill to prevent spread of the chemical.</w:t>
      </w:r>
    </w:p>
    <w:p w14:paraId="28CAE22C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Use the available spill kit to stop and contain the spill.  Bag the collected material.</w:t>
      </w:r>
    </w:p>
    <w:p w14:paraId="0A53732D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Label and tag as hazardous waste and submit a pick-up request to EH&amp;S using EHS Assistant.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AF55EA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34F1DC7E" w14:textId="77777777" w:rsidR="000E0C66" w:rsidRPr="008F4A38" w:rsidRDefault="000E0C66" w:rsidP="00AF55EA">
      <w:pPr>
        <w:pStyle w:val="Heading2"/>
        <w:rPr>
          <w:b/>
          <w:sz w:val="28"/>
        </w:rPr>
      </w:pPr>
      <w:r w:rsidRPr="008F4A38">
        <w:rPr>
          <w:b/>
          <w:sz w:val="28"/>
        </w:rPr>
        <w:t>Respiratory Protection</w:t>
      </w:r>
    </w:p>
    <w:p w14:paraId="3DA4952E" w14:textId="77777777" w:rsidR="000E0C66" w:rsidRPr="00C74920" w:rsidRDefault="000E0C66" w:rsidP="000E0C66">
      <w:pPr>
        <w:pStyle w:val="NoSpacing"/>
        <w:ind w:left="540"/>
        <w:rPr>
          <w:sz w:val="24"/>
          <w:szCs w:val="24"/>
        </w:rPr>
      </w:pPr>
      <w:r w:rsidRPr="00C74920">
        <w:rPr>
          <w:sz w:val="24"/>
          <w:szCs w:val="24"/>
        </w:rPr>
        <w:t>Use only inside a properly-functioning certified fume hood. Do not allow any open containers outside the fume hood.</w:t>
      </w:r>
    </w:p>
    <w:p w14:paraId="6DFBE385" w14:textId="77777777" w:rsidR="000E0C66" w:rsidRPr="008237B8" w:rsidRDefault="000E0C66" w:rsidP="000E0C66">
      <w:pPr>
        <w:pStyle w:val="NoSpacing"/>
        <w:ind w:left="540"/>
        <w:rPr>
          <w:sz w:val="24"/>
          <w:szCs w:val="24"/>
        </w:rPr>
      </w:pPr>
    </w:p>
    <w:p w14:paraId="73544F0A" w14:textId="77777777" w:rsidR="000E0C66" w:rsidRPr="007A35F8" w:rsidRDefault="000E0C66" w:rsidP="00AF55EA">
      <w:pPr>
        <w:pStyle w:val="Heading2"/>
        <w:rPr>
          <w:rFonts w:cstheme="minorHAnsi"/>
          <w:b/>
          <w:sz w:val="28"/>
        </w:rPr>
      </w:pPr>
      <w:r w:rsidRPr="007A35F8">
        <w:rPr>
          <w:rFonts w:cstheme="minorHAnsi"/>
          <w:b/>
          <w:sz w:val="28"/>
        </w:rPr>
        <w:t>Hand Protection</w:t>
      </w:r>
    </w:p>
    <w:p w14:paraId="046917DD" w14:textId="77777777" w:rsidR="000E0C66" w:rsidRPr="00C74920" w:rsidRDefault="000E0C66" w:rsidP="000E0C66">
      <w:pPr>
        <w:pStyle w:val="NoSpacing"/>
        <w:ind w:firstLine="540"/>
        <w:rPr>
          <w:sz w:val="24"/>
          <w:szCs w:val="24"/>
        </w:rPr>
      </w:pPr>
      <w:r w:rsidRPr="00C74920">
        <w:rPr>
          <w:sz w:val="24"/>
          <w:szCs w:val="24"/>
        </w:rPr>
        <w:t>Polyvinyl alcohol (PVA) gloves are required.</w:t>
      </w:r>
    </w:p>
    <w:p w14:paraId="4EC53C0C" w14:textId="77777777" w:rsidR="000E0C66" w:rsidRPr="00C74920" w:rsidRDefault="000E0C66" w:rsidP="000E0C66">
      <w:pPr>
        <w:pStyle w:val="NoSpacing"/>
        <w:rPr>
          <w:sz w:val="24"/>
          <w:szCs w:val="24"/>
        </w:rPr>
      </w:pPr>
    </w:p>
    <w:p w14:paraId="7F9D6C20" w14:textId="77777777" w:rsidR="000E0C66" w:rsidRPr="00C74920" w:rsidRDefault="000E0C66" w:rsidP="000E0C66">
      <w:pPr>
        <w:pStyle w:val="NoSpacing"/>
        <w:ind w:left="540"/>
        <w:rPr>
          <w:sz w:val="24"/>
          <w:szCs w:val="24"/>
        </w:rPr>
      </w:pPr>
      <w:r w:rsidRPr="00C74920">
        <w:rPr>
          <w:sz w:val="24"/>
          <w:szCs w:val="24"/>
        </w:rPr>
        <w:t xml:space="preserve">Dichloromethane readily passes through nitrile, neoprene/chloroprene, and </w:t>
      </w:r>
      <w:proofErr w:type="spellStart"/>
      <w:r w:rsidRPr="00C74920">
        <w:rPr>
          <w:sz w:val="24"/>
          <w:szCs w:val="24"/>
        </w:rPr>
        <w:t>viton</w:t>
      </w:r>
      <w:proofErr w:type="spellEnd"/>
      <w:r w:rsidRPr="00C74920">
        <w:rPr>
          <w:sz w:val="24"/>
          <w:szCs w:val="24"/>
        </w:rPr>
        <w:t xml:space="preserve">/butyl rubber gloves. It also passes through laminate film gloves in as little as </w:t>
      </w:r>
      <w:r>
        <w:rPr>
          <w:sz w:val="24"/>
          <w:szCs w:val="24"/>
        </w:rPr>
        <w:t>2</w:t>
      </w:r>
      <w:r w:rsidRPr="00C74920">
        <w:rPr>
          <w:sz w:val="24"/>
          <w:szCs w:val="24"/>
        </w:rPr>
        <w:t>0 minutes. Only use the approved PVA gloves for handling dichloromethane.</w:t>
      </w:r>
    </w:p>
    <w:p w14:paraId="554A0AAC" w14:textId="77777777" w:rsidR="000E0C66" w:rsidRPr="00C74920" w:rsidRDefault="000E0C66" w:rsidP="000E0C66">
      <w:pPr>
        <w:pStyle w:val="NoSpacing"/>
        <w:rPr>
          <w:sz w:val="24"/>
          <w:szCs w:val="24"/>
        </w:rPr>
      </w:pPr>
    </w:p>
    <w:p w14:paraId="14885CDA" w14:textId="4045FD8C" w:rsidR="000E0C66" w:rsidRPr="00C74920" w:rsidRDefault="000E0C66" w:rsidP="000E0C66">
      <w:pPr>
        <w:pStyle w:val="NoSpacing"/>
        <w:ind w:left="540"/>
        <w:rPr>
          <w:sz w:val="24"/>
          <w:szCs w:val="24"/>
        </w:rPr>
      </w:pPr>
      <w:r w:rsidRPr="00C74920">
        <w:rPr>
          <w:sz w:val="24"/>
          <w:szCs w:val="24"/>
        </w:rPr>
        <w:t xml:space="preserve">For handling techniques where thick PVA gloves prevent the completion of the task, such as syringe or pipette use, consult the </w:t>
      </w:r>
      <w:hyperlink r:id="rId12" w:history="1">
        <w:r w:rsidRPr="0038560B">
          <w:rPr>
            <w:rStyle w:val="Hyperlink"/>
            <w:rFonts w:cstheme="minorHAnsi"/>
            <w:sz w:val="24"/>
            <w:szCs w:val="24"/>
          </w:rPr>
          <w:t>Working with Thick Gloves guide</w:t>
        </w:r>
      </w:hyperlink>
      <w:r w:rsidRPr="00C74920">
        <w:rPr>
          <w:sz w:val="24"/>
          <w:szCs w:val="24"/>
        </w:rPr>
        <w:t>.</w:t>
      </w:r>
    </w:p>
    <w:p w14:paraId="4E5ECE0B" w14:textId="77777777" w:rsidR="000E0C66" w:rsidRPr="00C74920" w:rsidRDefault="000E0C66" w:rsidP="000E0C66">
      <w:pPr>
        <w:pStyle w:val="NoSpacing"/>
        <w:rPr>
          <w:sz w:val="24"/>
          <w:szCs w:val="24"/>
        </w:rPr>
      </w:pPr>
    </w:p>
    <w:p w14:paraId="26135457" w14:textId="77777777" w:rsidR="000E0C66" w:rsidRPr="00C74920" w:rsidRDefault="000E0C66" w:rsidP="000E0C66">
      <w:pPr>
        <w:pStyle w:val="NoSpacing"/>
        <w:ind w:firstLine="540"/>
        <w:rPr>
          <w:sz w:val="24"/>
          <w:szCs w:val="24"/>
        </w:rPr>
      </w:pPr>
      <w:r w:rsidRPr="00C74920">
        <w:rPr>
          <w:sz w:val="24"/>
          <w:szCs w:val="24"/>
        </w:rPr>
        <w:t>Use proper glove removal technique to avoid skin contact with this product.</w:t>
      </w:r>
    </w:p>
    <w:p w14:paraId="5F084B09" w14:textId="77777777" w:rsidR="004C54DC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C339420" w14:textId="77777777" w:rsidR="000668BA" w:rsidRPr="000668BA" w:rsidRDefault="004C54D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lastRenderedPageBreak/>
        <w:t>Eye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3DE027FA" w14:textId="77777777" w:rsidR="00F56F5E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Wear chemical splash goggles to protect from splash hazards and chemical vapors.</w:t>
      </w:r>
    </w:p>
    <w:p w14:paraId="5B6A87F2" w14:textId="77777777" w:rsidR="00F56F5E" w:rsidRPr="008237B8" w:rsidRDefault="00F56F5E" w:rsidP="00F56F5E">
      <w:pPr>
        <w:pStyle w:val="NoSpacing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Chemical splash goggles must meet ANSI Z87.1 D3 certification. Goggles must be properly-fitted to the face to provide an adequate seal against splashes.</w:t>
      </w:r>
    </w:p>
    <w:p w14:paraId="20EE3EDC" w14:textId="77777777" w:rsidR="00F56F5E" w:rsidRPr="008237B8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Goggles must be worn at all times by all lab personnel within splash range of the work performed if the work involves any liquids that are not plain water.</w:t>
      </w:r>
    </w:p>
    <w:p w14:paraId="4BFBAD3B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11319032" w14:textId="77777777" w:rsidR="000668BA" w:rsidRPr="000668BA" w:rsidRDefault="004C54D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Skin and body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64EFACE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Lab coat</w:t>
      </w:r>
    </w:p>
    <w:p w14:paraId="534A00AF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Full-length pants</w:t>
      </w:r>
    </w:p>
    <w:p w14:paraId="3C477CCB" w14:textId="373A2E14" w:rsidR="00F56F5E" w:rsidRPr="00012F3F" w:rsidRDefault="00F56F5E" w:rsidP="00012F3F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Fully-enclosed rubber or leather shoes</w:t>
      </w:r>
    </w:p>
    <w:p w14:paraId="12CECC47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AF55EA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7F1F29B" w14:textId="77777777" w:rsidR="00573739" w:rsidRPr="000668BA" w:rsidRDefault="00573739" w:rsidP="00236D0E">
      <w:pPr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65C757EF" w14:textId="77777777" w:rsidR="00214FE0" w:rsidRDefault="00214FE0" w:rsidP="00214FE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Ensure the container is tightly closed at all times with a lid that will not come loose in the event that the container tips over (parafilm is not a substitute).</w:t>
      </w:r>
    </w:p>
    <w:p w14:paraId="2B855F97" w14:textId="29514552" w:rsidR="00214FE0" w:rsidRDefault="00214FE0" w:rsidP="00214FE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F80">
        <w:rPr>
          <w:rFonts w:cstheme="minorHAnsi"/>
          <w:sz w:val="24"/>
          <w:szCs w:val="24"/>
        </w:rPr>
        <w:t>Keep container in a dry and well-ventilated place. Containers which are</w:t>
      </w:r>
      <w:r>
        <w:rPr>
          <w:rFonts w:cstheme="minorHAnsi"/>
          <w:sz w:val="24"/>
          <w:szCs w:val="24"/>
        </w:rPr>
        <w:t xml:space="preserve"> </w:t>
      </w:r>
      <w:r w:rsidRPr="00844F80">
        <w:rPr>
          <w:rFonts w:cstheme="minorHAnsi"/>
          <w:sz w:val="24"/>
          <w:szCs w:val="24"/>
        </w:rPr>
        <w:t>opened must be carefully resealed and kept upright to prevent leakage.</w:t>
      </w:r>
    </w:p>
    <w:p w14:paraId="2DDD1503" w14:textId="39284257" w:rsidR="00483807" w:rsidRPr="00844F80" w:rsidRDefault="00483807" w:rsidP="00214FE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Chloroform develops acidity from prolonged exposure to air and light.</w:t>
      </w:r>
    </w:p>
    <w:p w14:paraId="36B0EFAF" w14:textId="1978C909" w:rsidR="00214FE0" w:rsidRDefault="00214FE0" w:rsidP="00214FE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4F80">
        <w:rPr>
          <w:rFonts w:cstheme="minorHAnsi"/>
          <w:sz w:val="24"/>
          <w:szCs w:val="24"/>
        </w:rPr>
        <w:t>Storage class (TRGS 510): 6.1D: Non-combustible, acute toxic Cat.3 / toxic hazardous</w:t>
      </w:r>
      <w:r>
        <w:rPr>
          <w:rFonts w:cstheme="minorHAnsi"/>
          <w:sz w:val="24"/>
          <w:szCs w:val="24"/>
        </w:rPr>
        <w:t xml:space="preserve"> </w:t>
      </w:r>
      <w:r w:rsidRPr="00844F80">
        <w:rPr>
          <w:rFonts w:cstheme="minorHAnsi"/>
          <w:sz w:val="24"/>
          <w:szCs w:val="24"/>
        </w:rPr>
        <w:t>materials or hazardous materials causing chronic effects</w:t>
      </w:r>
    </w:p>
    <w:p w14:paraId="49C50EE6" w14:textId="53F46BC3" w:rsidR="00AD6A53" w:rsidRDefault="00AD6A53" w:rsidP="00214FE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bookmarkStart w:id="1" w:name="_Hlk99981250"/>
      <w:r>
        <w:rPr>
          <w:rFonts w:cstheme="minorHAnsi"/>
          <w:sz w:val="24"/>
          <w:szCs w:val="24"/>
        </w:rPr>
        <w:t xml:space="preserve">Store separately from the following </w:t>
      </w:r>
      <w:r w:rsidRPr="00455994">
        <w:rPr>
          <w:rFonts w:cstheme="minorHAnsi"/>
          <w:b/>
          <w:bCs/>
          <w:sz w:val="24"/>
          <w:szCs w:val="24"/>
        </w:rPr>
        <w:t>incompatible</w:t>
      </w:r>
      <w:r>
        <w:rPr>
          <w:rFonts w:cstheme="minorHAnsi"/>
          <w:sz w:val="24"/>
          <w:szCs w:val="24"/>
        </w:rPr>
        <w:t xml:space="preserve"> materials:</w:t>
      </w:r>
    </w:p>
    <w:bookmarkEnd w:id="1"/>
    <w:p w14:paraId="44B8A7D2" w14:textId="6EED8697" w:rsidR="00483807" w:rsidRDefault="00483807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oxidizers</w:t>
      </w:r>
    </w:p>
    <w:p w14:paraId="3754FB6D" w14:textId="0873D610" w:rsidR="00AD6A53" w:rsidRDefault="00AD6A53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Alkali metals</w:t>
      </w:r>
    </w:p>
    <w:p w14:paraId="71B499F3" w14:textId="34B5D8F2" w:rsidR="00AD6A53" w:rsidRDefault="00C51345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Powdered aluminum or magnesium</w:t>
      </w:r>
    </w:p>
    <w:p w14:paraId="3F509C92" w14:textId="728A2081" w:rsidR="00C51345" w:rsidRDefault="00C51345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Dinitrogen tetroxide</w:t>
      </w:r>
    </w:p>
    <w:p w14:paraId="59161690" w14:textId="5EE7CD8C" w:rsidR="00483807" w:rsidRDefault="00483807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Triisopropyl</w:t>
      </w:r>
      <w:proofErr w:type="spellEnd"/>
      <w:r>
        <w:rPr>
          <w:rFonts w:cstheme="minorHAnsi"/>
          <w:sz w:val="24"/>
          <w:szCs w:val="24"/>
        </w:rPr>
        <w:t xml:space="preserve"> phosphine</w:t>
      </w:r>
    </w:p>
    <w:p w14:paraId="7DC5545D" w14:textId="53D7BA66" w:rsidR="008D1513" w:rsidRDefault="008D1513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Nitromethane</w:t>
      </w:r>
    </w:p>
    <w:p w14:paraId="0162B8A4" w14:textId="77777777" w:rsidR="00450621" w:rsidRDefault="00450621" w:rsidP="0045062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Acetone (in the presence of a hydroxide base)</w:t>
      </w:r>
    </w:p>
    <w:p w14:paraId="1616BD24" w14:textId="530E59D1" w:rsidR="00450621" w:rsidRPr="00844F80" w:rsidRDefault="00450621" w:rsidP="00AD6A53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Alcohols (in the presence of alkali metals)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764E53D7" w14:textId="77777777" w:rsidR="000E0C66" w:rsidRPr="00855A69" w:rsidRDefault="000E0C66" w:rsidP="000E0C66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bookmarkStart w:id="2" w:name="_Hlk85727671"/>
      <w:r w:rsidRPr="00855A69">
        <w:rPr>
          <w:rFonts w:cstheme="minorHAnsi"/>
          <w:sz w:val="24"/>
          <w:szCs w:val="24"/>
        </w:rPr>
        <w:t>The lab where the material is being handled must have an approved / certified emergency eyewash and safety shower.</w:t>
      </w:r>
    </w:p>
    <w:p w14:paraId="35F35053" w14:textId="77777777" w:rsidR="000E0C66" w:rsidRDefault="000E0C66" w:rsidP="000E0C66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sz w:val="24"/>
          <w:szCs w:val="24"/>
        </w:rPr>
        <w:lastRenderedPageBreak/>
        <w:t xml:space="preserve">Avoid contact with skin and eyes. </w:t>
      </w:r>
      <w:r w:rsidRPr="008167FA">
        <w:rPr>
          <w:rFonts w:cstheme="minorHAnsi"/>
          <w:sz w:val="24"/>
          <w:szCs w:val="24"/>
        </w:rPr>
        <w:t>Ensure you are wearing the required PPE and using appropriate engineering controls as stated below</w:t>
      </w:r>
      <w:r>
        <w:rPr>
          <w:rFonts w:cstheme="minorHAnsi"/>
          <w:sz w:val="24"/>
          <w:szCs w:val="24"/>
        </w:rPr>
        <w:t>, including the required Polyvinyl Alcohol (PVA) gloves</w:t>
      </w:r>
      <w:r w:rsidRPr="008167FA">
        <w:rPr>
          <w:rFonts w:cstheme="minorHAnsi"/>
          <w:sz w:val="24"/>
          <w:szCs w:val="24"/>
        </w:rPr>
        <w:t xml:space="preserve">. </w:t>
      </w:r>
    </w:p>
    <w:p w14:paraId="525D454F" w14:textId="6E6F44C5" w:rsidR="000E0C66" w:rsidRDefault="000E0C66" w:rsidP="000E0C66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lab techniques where PVA gloves prevent necessary hand movements, consult the </w:t>
      </w:r>
      <w:hyperlink r:id="rId13" w:history="1">
        <w:r w:rsidRPr="000E0C66">
          <w:rPr>
            <w:rStyle w:val="Hyperlink"/>
            <w:rFonts w:cstheme="minorHAnsi"/>
            <w:sz w:val="24"/>
            <w:szCs w:val="24"/>
          </w:rPr>
          <w:t>Working with Thick Gloves</w:t>
        </w:r>
      </w:hyperlink>
      <w:r>
        <w:rPr>
          <w:rFonts w:cstheme="minorHAnsi"/>
          <w:sz w:val="24"/>
          <w:szCs w:val="24"/>
        </w:rPr>
        <w:t xml:space="preserve"> guide.</w:t>
      </w:r>
    </w:p>
    <w:p w14:paraId="5F38DAA3" w14:textId="77777777" w:rsidR="000E0C66" w:rsidRDefault="000E0C66" w:rsidP="000E0C66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rFonts w:cstheme="minorHAnsi"/>
          <w:sz w:val="24"/>
          <w:szCs w:val="24"/>
        </w:rPr>
        <w:t>Avoid inhalation of vapor or mist.</w:t>
      </w:r>
      <w:r>
        <w:rPr>
          <w:rFonts w:cstheme="minorHAnsi"/>
          <w:sz w:val="24"/>
          <w:szCs w:val="24"/>
        </w:rPr>
        <w:t xml:space="preserve"> Containers with this reagent may not be open unless they are inside a properly-functioning fume hood.</w:t>
      </w:r>
    </w:p>
    <w:p w14:paraId="2328917C" w14:textId="77777777" w:rsidR="000E0C66" w:rsidRPr="00334C0F" w:rsidRDefault="000E0C66" w:rsidP="000E0C66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55A69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  <w:bookmarkEnd w:id="2"/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AF55EA">
      <w:pPr>
        <w:pStyle w:val="Heading2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A56BC96" w14:textId="6C3E70CC" w:rsidR="001545E2" w:rsidRDefault="001545E2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Label waste</w:t>
      </w:r>
    </w:p>
    <w:p w14:paraId="035A8B61" w14:textId="77777777" w:rsidR="001545E2" w:rsidRPr="000E72D2" w:rsidRDefault="001545E2" w:rsidP="000E72D2">
      <w:pPr>
        <w:pStyle w:val="ListParagraph"/>
        <w:numPr>
          <w:ilvl w:val="0"/>
          <w:numId w:val="22"/>
        </w:numPr>
        <w:spacing w:after="200"/>
        <w:rPr>
          <w:rFonts w:eastAsia="Calibri" w:cstheme="minorHAnsi"/>
          <w:sz w:val="24"/>
        </w:rPr>
      </w:pPr>
      <w:r w:rsidRPr="000E72D2">
        <w:rPr>
          <w:rFonts w:eastAsia="Calibri" w:cstheme="minorHAnsi"/>
          <w:sz w:val="24"/>
        </w:rPr>
        <w:t>Attach a completed ASU Hazardous Waste tag to all waste containers as soon as the first drop of waste is added to the container.</w:t>
      </w:r>
    </w:p>
    <w:p w14:paraId="43A1B2DF" w14:textId="77777777" w:rsidR="001545E2" w:rsidRDefault="001545E2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Store waste</w:t>
      </w:r>
    </w:p>
    <w:p w14:paraId="699FB71A" w14:textId="2FE23C29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hazardous waste in closed containers, in secondary containment and in a designated location.</w:t>
      </w:r>
    </w:p>
    <w:p w14:paraId="22C7E177" w14:textId="77777777" w:rsidR="00157680" w:rsidRDefault="00157680" w:rsidP="00157680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store waste inside a fume hood. Clutter inside a fume hood will block the air flow and prevent the fume hood from working properly.</w:t>
      </w:r>
    </w:p>
    <w:p w14:paraId="2F405808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waste from any incompatible materials.</w:t>
      </w:r>
    </w:p>
    <w:p w14:paraId="46F36BC9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Double-bag dry waste (</w:t>
      </w:r>
      <w:proofErr w:type="spellStart"/>
      <w:r>
        <w:rPr>
          <w:rFonts w:cstheme="minorHAnsi"/>
          <w:sz w:val="24"/>
          <w:szCs w:val="24"/>
        </w:rPr>
        <w:t>kimwipes</w:t>
      </w:r>
      <w:proofErr w:type="spellEnd"/>
      <w:r>
        <w:rPr>
          <w:rFonts w:cstheme="minorHAnsi"/>
          <w:sz w:val="24"/>
          <w:szCs w:val="24"/>
        </w:rPr>
        <w:t>, gloves, etc.) using sealable transparent bags.</w:t>
      </w:r>
    </w:p>
    <w:p w14:paraId="037AC787" w14:textId="77777777" w:rsidR="000E72D2" w:rsidRPr="00FA6481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waste objects that can penetrate bags (pipettes, swabs, razor blades, or syringes) must be placed inside a leak-proof container made out of a material that will resist cuts or punctures from those objects.</w:t>
      </w:r>
    </w:p>
    <w:p w14:paraId="184540CA" w14:textId="4CEFE541" w:rsidR="000E72D2" w:rsidRDefault="00236D0E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E72D2">
        <w:rPr>
          <w:rFonts w:cstheme="minorHAnsi"/>
          <w:sz w:val="24"/>
          <w:szCs w:val="24"/>
        </w:rPr>
        <w:t>he waste container must be brought inside the fume hood whenever waste is being added to it.</w:t>
      </w:r>
    </w:p>
    <w:p w14:paraId="6E304A76" w14:textId="0E8B8D8C" w:rsidR="001545E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Waste must be under the control of the person generating and disposing of it.</w:t>
      </w:r>
    </w:p>
    <w:p w14:paraId="1AC1DEA5" w14:textId="77777777" w:rsidR="000E72D2" w:rsidRPr="000E72D2" w:rsidRDefault="000E72D2" w:rsidP="000E72D2">
      <w:pPr>
        <w:pStyle w:val="NoSpacing"/>
        <w:ind w:left="540"/>
        <w:rPr>
          <w:rFonts w:cstheme="minorHAnsi"/>
          <w:sz w:val="24"/>
          <w:szCs w:val="24"/>
        </w:rPr>
      </w:pPr>
    </w:p>
    <w:p w14:paraId="4DA57AE4" w14:textId="77777777" w:rsidR="001545E2" w:rsidRDefault="001545E2" w:rsidP="00AF55EA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Dispose of waste</w:t>
      </w:r>
    </w:p>
    <w:p w14:paraId="5F258AD3" w14:textId="77777777" w:rsidR="00342370" w:rsidRPr="009F3F68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 of regularly generated chemical waste within 90 days or less (</w:t>
      </w:r>
      <w:r w:rsidRPr="009F3F68">
        <w:rPr>
          <w:rFonts w:cstheme="minorHAnsi"/>
          <w:sz w:val="24"/>
          <w:szCs w:val="24"/>
        </w:rPr>
        <w:t>even if the container is not full).</w:t>
      </w:r>
    </w:p>
    <w:p w14:paraId="3E4BA4E8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EHS Assistant online hazardous waste pick-up request system: </w:t>
      </w:r>
      <w:hyperlink r:id="rId14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AF55EA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5"/>
      <w:footerReference w:type="default" r:id="rId16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6A75" w14:textId="77777777" w:rsidR="00A60F89" w:rsidRDefault="00A60F89" w:rsidP="009A14F5">
      <w:r>
        <w:separator/>
      </w:r>
    </w:p>
  </w:endnote>
  <w:endnote w:type="continuationSeparator" w:id="0">
    <w:p w14:paraId="06313D29" w14:textId="77777777" w:rsidR="00A60F89" w:rsidRDefault="00A60F89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37D12B18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>Updated Jan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4FC7" w14:textId="77777777" w:rsidR="00A60F89" w:rsidRDefault="00A60F89" w:rsidP="009A14F5">
      <w:r>
        <w:separator/>
      </w:r>
    </w:p>
  </w:footnote>
  <w:footnote w:type="continuationSeparator" w:id="0">
    <w:p w14:paraId="40DF299B" w14:textId="77777777" w:rsidR="00A60F89" w:rsidRDefault="00A60F89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6C55301D" w:rsidR="009A14F5" w:rsidRPr="00865620" w:rsidRDefault="00031CE7" w:rsidP="00865620">
    <w:pPr>
      <w:pStyle w:val="Header"/>
      <w:jc w:val="right"/>
      <w:rPr>
        <w:i/>
        <w:iCs/>
      </w:rPr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0BE" w:rsidRPr="00B130BE">
      <w:t xml:space="preserve"> </w:t>
    </w:r>
    <w:r w:rsidR="00B130BE" w:rsidRPr="0050246A">
      <w:t xml:space="preserve">Chloroform, </w:t>
    </w:r>
    <w:r w:rsidR="00B130BE">
      <w:t>67-66-3</w:t>
    </w:r>
    <w:r w:rsidR="00B130BE" w:rsidRPr="0050246A">
      <w:t xml:space="preserve">, </w:t>
    </w:r>
    <w:r w:rsidR="00B130BE" w:rsidRPr="001B094A">
      <w:t>≤100%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29899">
    <w:abstractNumId w:val="2"/>
  </w:num>
  <w:num w:numId="2" w16cid:durableId="674961776">
    <w:abstractNumId w:val="18"/>
  </w:num>
  <w:num w:numId="3" w16cid:durableId="1608612507">
    <w:abstractNumId w:val="23"/>
  </w:num>
  <w:num w:numId="4" w16cid:durableId="20802966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36735718">
    <w:abstractNumId w:val="16"/>
  </w:num>
  <w:num w:numId="6" w16cid:durableId="777869691">
    <w:abstractNumId w:val="4"/>
  </w:num>
  <w:num w:numId="7" w16cid:durableId="1921787746">
    <w:abstractNumId w:val="0"/>
  </w:num>
  <w:num w:numId="8" w16cid:durableId="1669363222">
    <w:abstractNumId w:val="10"/>
  </w:num>
  <w:num w:numId="9" w16cid:durableId="1490711387">
    <w:abstractNumId w:val="22"/>
  </w:num>
  <w:num w:numId="10" w16cid:durableId="1313096147">
    <w:abstractNumId w:val="17"/>
  </w:num>
  <w:num w:numId="11" w16cid:durableId="416950902">
    <w:abstractNumId w:val="21"/>
  </w:num>
  <w:num w:numId="12" w16cid:durableId="256599233">
    <w:abstractNumId w:val="12"/>
  </w:num>
  <w:num w:numId="13" w16cid:durableId="1098788263">
    <w:abstractNumId w:val="19"/>
  </w:num>
  <w:num w:numId="14" w16cid:durableId="1992951364">
    <w:abstractNumId w:val="15"/>
  </w:num>
  <w:num w:numId="15" w16cid:durableId="1501310656">
    <w:abstractNumId w:val="7"/>
  </w:num>
  <w:num w:numId="16" w16cid:durableId="94444744">
    <w:abstractNumId w:val="20"/>
  </w:num>
  <w:num w:numId="17" w16cid:durableId="100616478">
    <w:abstractNumId w:val="3"/>
  </w:num>
  <w:num w:numId="18" w16cid:durableId="101609579">
    <w:abstractNumId w:val="9"/>
  </w:num>
  <w:num w:numId="19" w16cid:durableId="1825313300">
    <w:abstractNumId w:val="6"/>
  </w:num>
  <w:num w:numId="20" w16cid:durableId="686101360">
    <w:abstractNumId w:val="1"/>
  </w:num>
  <w:num w:numId="21" w16cid:durableId="49114158">
    <w:abstractNumId w:val="13"/>
  </w:num>
  <w:num w:numId="22" w16cid:durableId="483283061">
    <w:abstractNumId w:val="14"/>
  </w:num>
  <w:num w:numId="23" w16cid:durableId="1179467399">
    <w:abstractNumId w:val="5"/>
  </w:num>
  <w:num w:numId="24" w16cid:durableId="943923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12F3F"/>
    <w:rsid w:val="00031CE7"/>
    <w:rsid w:val="00053985"/>
    <w:rsid w:val="00063E9A"/>
    <w:rsid w:val="000668BA"/>
    <w:rsid w:val="00084AEF"/>
    <w:rsid w:val="00087CCC"/>
    <w:rsid w:val="00097B95"/>
    <w:rsid w:val="000C745A"/>
    <w:rsid w:val="000E09B0"/>
    <w:rsid w:val="000E0C66"/>
    <w:rsid w:val="000E72D2"/>
    <w:rsid w:val="000E7A4B"/>
    <w:rsid w:val="000F40D5"/>
    <w:rsid w:val="000F73E2"/>
    <w:rsid w:val="00102EB1"/>
    <w:rsid w:val="00112F8E"/>
    <w:rsid w:val="0011569E"/>
    <w:rsid w:val="001171B0"/>
    <w:rsid w:val="00123A0B"/>
    <w:rsid w:val="001402A1"/>
    <w:rsid w:val="001448BF"/>
    <w:rsid w:val="00153528"/>
    <w:rsid w:val="001545E2"/>
    <w:rsid w:val="00157680"/>
    <w:rsid w:val="00161353"/>
    <w:rsid w:val="00164DE2"/>
    <w:rsid w:val="00195C03"/>
    <w:rsid w:val="00196E1A"/>
    <w:rsid w:val="001B3BDF"/>
    <w:rsid w:val="001E3C15"/>
    <w:rsid w:val="001E5778"/>
    <w:rsid w:val="001E7680"/>
    <w:rsid w:val="00200AD8"/>
    <w:rsid w:val="00204FD1"/>
    <w:rsid w:val="00214FE0"/>
    <w:rsid w:val="00236D0E"/>
    <w:rsid w:val="00255B7F"/>
    <w:rsid w:val="00264F30"/>
    <w:rsid w:val="00277AD6"/>
    <w:rsid w:val="00281CD5"/>
    <w:rsid w:val="002B3896"/>
    <w:rsid w:val="002B5990"/>
    <w:rsid w:val="002D2F94"/>
    <w:rsid w:val="002F4C50"/>
    <w:rsid w:val="0030387B"/>
    <w:rsid w:val="00327B8C"/>
    <w:rsid w:val="00342370"/>
    <w:rsid w:val="00357B65"/>
    <w:rsid w:val="00371C05"/>
    <w:rsid w:val="0038560B"/>
    <w:rsid w:val="003B54DA"/>
    <w:rsid w:val="003F76DA"/>
    <w:rsid w:val="00430393"/>
    <w:rsid w:val="00450621"/>
    <w:rsid w:val="004538BD"/>
    <w:rsid w:val="00455994"/>
    <w:rsid w:val="00462DA2"/>
    <w:rsid w:val="00480974"/>
    <w:rsid w:val="00483807"/>
    <w:rsid w:val="004B15EA"/>
    <w:rsid w:val="004C0F22"/>
    <w:rsid w:val="004C54DC"/>
    <w:rsid w:val="004E457A"/>
    <w:rsid w:val="005001B7"/>
    <w:rsid w:val="00515D89"/>
    <w:rsid w:val="00521464"/>
    <w:rsid w:val="005445DA"/>
    <w:rsid w:val="00554D7B"/>
    <w:rsid w:val="00557037"/>
    <w:rsid w:val="00570770"/>
    <w:rsid w:val="00573739"/>
    <w:rsid w:val="005A352B"/>
    <w:rsid w:val="005B1295"/>
    <w:rsid w:val="005B155F"/>
    <w:rsid w:val="005B192F"/>
    <w:rsid w:val="005C1036"/>
    <w:rsid w:val="005C7C40"/>
    <w:rsid w:val="005E063E"/>
    <w:rsid w:val="005E254A"/>
    <w:rsid w:val="005E3D10"/>
    <w:rsid w:val="005F3CE8"/>
    <w:rsid w:val="0061344A"/>
    <w:rsid w:val="006604B1"/>
    <w:rsid w:val="0066442C"/>
    <w:rsid w:val="0067060B"/>
    <w:rsid w:val="0067178D"/>
    <w:rsid w:val="00673527"/>
    <w:rsid w:val="00693E09"/>
    <w:rsid w:val="00695406"/>
    <w:rsid w:val="0069676C"/>
    <w:rsid w:val="006B484C"/>
    <w:rsid w:val="006D5F60"/>
    <w:rsid w:val="00704BC1"/>
    <w:rsid w:val="00711F4B"/>
    <w:rsid w:val="00752E1B"/>
    <w:rsid w:val="00766812"/>
    <w:rsid w:val="00771371"/>
    <w:rsid w:val="00774CD3"/>
    <w:rsid w:val="00775F2A"/>
    <w:rsid w:val="007774AB"/>
    <w:rsid w:val="007808EC"/>
    <w:rsid w:val="0078456F"/>
    <w:rsid w:val="007D27F8"/>
    <w:rsid w:val="008513F0"/>
    <w:rsid w:val="00865620"/>
    <w:rsid w:val="0086626B"/>
    <w:rsid w:val="00866D8B"/>
    <w:rsid w:val="00881775"/>
    <w:rsid w:val="0088253F"/>
    <w:rsid w:val="00884E4F"/>
    <w:rsid w:val="00893753"/>
    <w:rsid w:val="008D1513"/>
    <w:rsid w:val="008D1ECB"/>
    <w:rsid w:val="008F40E4"/>
    <w:rsid w:val="008F573E"/>
    <w:rsid w:val="008F6FF9"/>
    <w:rsid w:val="008F7A1D"/>
    <w:rsid w:val="00900564"/>
    <w:rsid w:val="0090330C"/>
    <w:rsid w:val="00905CC8"/>
    <w:rsid w:val="00920DCA"/>
    <w:rsid w:val="00921E21"/>
    <w:rsid w:val="00937009"/>
    <w:rsid w:val="00940BEA"/>
    <w:rsid w:val="009567E4"/>
    <w:rsid w:val="00964D5D"/>
    <w:rsid w:val="00991400"/>
    <w:rsid w:val="009A14F5"/>
    <w:rsid w:val="009D60A0"/>
    <w:rsid w:val="009E352D"/>
    <w:rsid w:val="009F0478"/>
    <w:rsid w:val="00A01A1A"/>
    <w:rsid w:val="00A109A7"/>
    <w:rsid w:val="00A26F4A"/>
    <w:rsid w:val="00A27705"/>
    <w:rsid w:val="00A33177"/>
    <w:rsid w:val="00A504D8"/>
    <w:rsid w:val="00A55193"/>
    <w:rsid w:val="00A561B1"/>
    <w:rsid w:val="00A60F89"/>
    <w:rsid w:val="00A75FD8"/>
    <w:rsid w:val="00A83D76"/>
    <w:rsid w:val="00A867AA"/>
    <w:rsid w:val="00A94AE4"/>
    <w:rsid w:val="00AD1712"/>
    <w:rsid w:val="00AD67B0"/>
    <w:rsid w:val="00AD6A53"/>
    <w:rsid w:val="00AF55EA"/>
    <w:rsid w:val="00B002DB"/>
    <w:rsid w:val="00B07111"/>
    <w:rsid w:val="00B130BE"/>
    <w:rsid w:val="00B16735"/>
    <w:rsid w:val="00B35C2C"/>
    <w:rsid w:val="00B4026E"/>
    <w:rsid w:val="00B60ACC"/>
    <w:rsid w:val="00B81EBC"/>
    <w:rsid w:val="00BB5F22"/>
    <w:rsid w:val="00BE040C"/>
    <w:rsid w:val="00C152E2"/>
    <w:rsid w:val="00C22087"/>
    <w:rsid w:val="00C234CE"/>
    <w:rsid w:val="00C51345"/>
    <w:rsid w:val="00C5677C"/>
    <w:rsid w:val="00C60A99"/>
    <w:rsid w:val="00C65366"/>
    <w:rsid w:val="00C83018"/>
    <w:rsid w:val="00CB10EB"/>
    <w:rsid w:val="00CB4088"/>
    <w:rsid w:val="00CB569B"/>
    <w:rsid w:val="00CD2A43"/>
    <w:rsid w:val="00CD4A8B"/>
    <w:rsid w:val="00CE0108"/>
    <w:rsid w:val="00D114DA"/>
    <w:rsid w:val="00D575B4"/>
    <w:rsid w:val="00D60CB4"/>
    <w:rsid w:val="00D64DD9"/>
    <w:rsid w:val="00D70AFD"/>
    <w:rsid w:val="00D7333D"/>
    <w:rsid w:val="00DC6B43"/>
    <w:rsid w:val="00DE6A50"/>
    <w:rsid w:val="00DF5519"/>
    <w:rsid w:val="00E05F1C"/>
    <w:rsid w:val="00E06890"/>
    <w:rsid w:val="00E246BF"/>
    <w:rsid w:val="00E2794A"/>
    <w:rsid w:val="00E3383A"/>
    <w:rsid w:val="00E53ABE"/>
    <w:rsid w:val="00E572E5"/>
    <w:rsid w:val="00E67849"/>
    <w:rsid w:val="00E77758"/>
    <w:rsid w:val="00F013D3"/>
    <w:rsid w:val="00F24D79"/>
    <w:rsid w:val="00F41877"/>
    <w:rsid w:val="00F41AD3"/>
    <w:rsid w:val="00F50BF2"/>
    <w:rsid w:val="00F56F5E"/>
    <w:rsid w:val="00F65FFF"/>
    <w:rsid w:val="00F6739E"/>
    <w:rsid w:val="00F7738C"/>
    <w:rsid w:val="00F77775"/>
    <w:rsid w:val="00FA6F5C"/>
    <w:rsid w:val="00FD198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afe.engineering.asu.edu/wp-content/uploads/2022/03/Working-with-Thick-Gloves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.engineering.asu.edu/wp-content/uploads/2022/03/Working-with-Thick-Glove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aweb.asu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ehsaweb.asu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296C33FBE4843A4AC5345B76F6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199-E0D4-4E38-A113-1F6547BC1BEE}"/>
      </w:docPartPr>
      <w:docPartBody>
        <w:p w:rsidR="00C124BF" w:rsidRDefault="001452FC" w:rsidP="001452FC">
          <w:pPr>
            <w:pStyle w:val="2296C33FBE4843A4AC5345B76F6E97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0378F6"/>
    <w:rsid w:val="00056169"/>
    <w:rsid w:val="001452FC"/>
    <w:rsid w:val="002C56A2"/>
    <w:rsid w:val="00360368"/>
    <w:rsid w:val="003F2DB9"/>
    <w:rsid w:val="004F4C8B"/>
    <w:rsid w:val="00500424"/>
    <w:rsid w:val="005539E7"/>
    <w:rsid w:val="006D20B7"/>
    <w:rsid w:val="00AC2DEF"/>
    <w:rsid w:val="00B4504C"/>
    <w:rsid w:val="00C124BF"/>
    <w:rsid w:val="00CF6472"/>
    <w:rsid w:val="00E71CA3"/>
    <w:rsid w:val="00E97046"/>
    <w:rsid w:val="00E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2FC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2296C33FBE4843A4AC5345B76F6E979E">
    <w:name w:val="2296C33FBE4843A4AC5345B76F6E979E"/>
    <w:rsid w:val="001452FC"/>
  </w:style>
  <w:style w:type="paragraph" w:customStyle="1" w:styleId="E4B0D76840554517A11BBEF2C56FCD8D">
    <w:name w:val="E4B0D76840554517A11BBEF2C56FCD8D"/>
    <w:rsid w:val="0014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50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17</cp:revision>
  <dcterms:created xsi:type="dcterms:W3CDTF">2022-04-04T22:11:00Z</dcterms:created>
  <dcterms:modified xsi:type="dcterms:W3CDTF">2022-12-28T19:34:00Z</dcterms:modified>
  <cp:category/>
</cp:coreProperties>
</file>